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34" w:type="pct"/>
        <w:tblLook w:val="04A0" w:firstRow="1" w:lastRow="0" w:firstColumn="1" w:lastColumn="0" w:noHBand="0" w:noVBand="1"/>
      </w:tblPr>
      <w:tblGrid>
        <w:gridCol w:w="8870"/>
      </w:tblGrid>
      <w:tr w:rsidR="003F2C38" w:rsidTr="003F2C3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2C38" w:rsidRDefault="003F2C38">
            <w:pPr>
              <w:tabs>
                <w:tab w:val="left" w:pos="152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ОФОРМЛЕНИЮ МАТЕРИАЛОВ</w:t>
            </w:r>
          </w:p>
        </w:tc>
      </w:tr>
    </w:tbl>
    <w:p w:rsidR="003F2C38" w:rsidRDefault="003F2C38" w:rsidP="003F2C38">
      <w:pPr>
        <w:ind w:firstLine="709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Материалы докладов объемом 5-10 полных страниц в формате </w:t>
      </w:r>
      <w:r>
        <w:rPr>
          <w:sz w:val="20"/>
          <w:szCs w:val="20"/>
          <w:lang w:val="en-US"/>
        </w:rPr>
        <w:t>MS</w:t>
      </w:r>
      <w:r w:rsidRPr="003F2C3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WORD</w:t>
      </w:r>
      <w:r w:rsidRPr="003F2C3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WINDOWS</w:t>
      </w:r>
      <w:r>
        <w:rPr>
          <w:sz w:val="20"/>
          <w:szCs w:val="20"/>
        </w:rPr>
        <w:t xml:space="preserve">-97/2003/2007. </w:t>
      </w:r>
      <w:proofErr w:type="spellStart"/>
      <w:r>
        <w:rPr>
          <w:sz w:val="20"/>
          <w:szCs w:val="20"/>
        </w:rPr>
        <w:t>Обьем</w:t>
      </w:r>
      <w:proofErr w:type="spellEnd"/>
      <w:r>
        <w:rPr>
          <w:sz w:val="20"/>
          <w:szCs w:val="20"/>
        </w:rPr>
        <w:t xml:space="preserve"> обзорных докладов до 15 страниц.</w:t>
      </w:r>
    </w:p>
    <w:p w:rsidR="003F2C38" w:rsidRDefault="003F2C38" w:rsidP="003F2C38">
      <w:pPr>
        <w:spacing w:line="259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Границы текста:</w:t>
      </w:r>
      <w:r>
        <w:rPr>
          <w:sz w:val="20"/>
          <w:szCs w:val="20"/>
        </w:rPr>
        <w:t xml:space="preserve"> верхнее поле - 20 мм, нижнее поле - 30 мм, правое и левое поля - 25 мм. </w:t>
      </w:r>
      <w:r>
        <w:rPr>
          <w:b/>
          <w:sz w:val="20"/>
          <w:szCs w:val="20"/>
          <w:u w:val="single"/>
        </w:rPr>
        <w:t>Шрифт:</w:t>
      </w:r>
      <w:r>
        <w:rPr>
          <w:sz w:val="20"/>
          <w:szCs w:val="20"/>
        </w:rPr>
        <w:t xml:space="preserve"> размер 14, </w:t>
      </w:r>
      <w:r>
        <w:rPr>
          <w:sz w:val="20"/>
          <w:szCs w:val="20"/>
          <w:lang w:val="en-US"/>
        </w:rPr>
        <w:t>TIMES</w:t>
      </w:r>
      <w:r w:rsidRPr="003F2C3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3F2C3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ROMAN</w:t>
      </w:r>
      <w:r>
        <w:rPr>
          <w:sz w:val="20"/>
          <w:szCs w:val="20"/>
        </w:rPr>
        <w:t xml:space="preserve">, межстрочный интервал – одинарный, автоматический перенос слов, рисунки в формате </w:t>
      </w:r>
      <w:r>
        <w:rPr>
          <w:sz w:val="20"/>
          <w:szCs w:val="20"/>
          <w:lang w:val="en-US"/>
        </w:rPr>
        <w:t>JPG</w:t>
      </w:r>
      <w:r>
        <w:rPr>
          <w:sz w:val="20"/>
          <w:szCs w:val="20"/>
        </w:rPr>
        <w:t xml:space="preserve">, таблицы – в формате </w:t>
      </w:r>
      <w:r>
        <w:rPr>
          <w:sz w:val="20"/>
          <w:szCs w:val="20"/>
          <w:lang w:val="en-US"/>
        </w:rPr>
        <w:t>Word</w:t>
      </w:r>
      <w:r>
        <w:rPr>
          <w:sz w:val="20"/>
          <w:szCs w:val="20"/>
        </w:rPr>
        <w:t xml:space="preserve">, формулы - в редакторе </w:t>
      </w:r>
      <w:r>
        <w:rPr>
          <w:sz w:val="20"/>
          <w:szCs w:val="20"/>
          <w:lang w:val="en-US"/>
        </w:rPr>
        <w:t>Microsoft</w:t>
      </w:r>
      <w:r w:rsidRPr="003F2C3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Equation</w:t>
      </w:r>
      <w:r>
        <w:rPr>
          <w:sz w:val="20"/>
          <w:szCs w:val="20"/>
        </w:rPr>
        <w:t xml:space="preserve"> 3.0, диаграммы - в формате </w:t>
      </w:r>
      <w:r>
        <w:rPr>
          <w:sz w:val="20"/>
          <w:szCs w:val="20"/>
          <w:lang w:val="en-US"/>
        </w:rPr>
        <w:t>Microsoft</w:t>
      </w:r>
      <w:r w:rsidRPr="003F2C3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Excel</w:t>
      </w:r>
      <w:r>
        <w:rPr>
          <w:sz w:val="20"/>
          <w:szCs w:val="20"/>
        </w:rPr>
        <w:t>.</w:t>
      </w:r>
    </w:p>
    <w:p w:rsidR="003F2C38" w:rsidRDefault="003F2C38" w:rsidP="003F2C38">
      <w:pPr>
        <w:spacing w:line="259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Построение рукописи.</w:t>
      </w:r>
      <w:r>
        <w:rPr>
          <w:sz w:val="20"/>
          <w:szCs w:val="20"/>
        </w:rPr>
        <w:t xml:space="preserve"> Заголовок строчными буквами, шрифт полужирный. </w:t>
      </w:r>
      <w:proofErr w:type="gramStart"/>
      <w:r>
        <w:rPr>
          <w:sz w:val="20"/>
          <w:szCs w:val="20"/>
        </w:rPr>
        <w:t>Список авторов, начиная с заглавной строчными буквами: фамилия, инициалы, название организации, ВУЗа (полностью), город,  выравнивание посередине.</w:t>
      </w:r>
      <w:proofErr w:type="gramEnd"/>
      <w:r>
        <w:rPr>
          <w:sz w:val="20"/>
          <w:szCs w:val="20"/>
        </w:rPr>
        <w:t xml:space="preserve"> Одна строка отступ. Текст начинается с абзаца, отступ –1,27 мм, выравнивание по ширине. Список литературы оформляется по требованиям ГОСТ, приводится в порядке цитирования. Для аспирантов, магистрантов и студентов - в конце статьи сведения о научном руководителе (Фамилия И.О., степень, звание). </w:t>
      </w:r>
    </w:p>
    <w:p w:rsidR="00362DAC" w:rsidRDefault="00362DAC" w:rsidP="00362DAC">
      <w:pPr>
        <w:pStyle w:val="a6"/>
        <w:rPr>
          <w:sz w:val="20"/>
          <w:szCs w:val="20"/>
        </w:rPr>
      </w:pPr>
      <w:r>
        <w:rPr>
          <w:sz w:val="20"/>
          <w:szCs w:val="20"/>
        </w:rPr>
        <w:t>Оргкомитет оставляет за собой право отклонять к публикации материалы, не удовлетворяющие тематике семинара или требованиям к оформлению.</w:t>
      </w:r>
    </w:p>
    <w:p w:rsidR="00362DAC" w:rsidRDefault="00362DAC" w:rsidP="00362D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Назвать файл доклада следует следующим образом: </w:t>
      </w:r>
      <w:r>
        <w:rPr>
          <w:b/>
          <w:i/>
          <w:sz w:val="20"/>
          <w:szCs w:val="20"/>
        </w:rPr>
        <w:t>Куликов_Экспериментальное.doc</w:t>
      </w:r>
      <w:r>
        <w:rPr>
          <w:sz w:val="20"/>
          <w:szCs w:val="20"/>
        </w:rPr>
        <w:t>, т.е. фамилия первого автора и первое (или несколько, если название начинается с предлога) слово названия доклада.</w:t>
      </w:r>
    </w:p>
    <w:p w:rsidR="00362DAC" w:rsidRDefault="00362DAC" w:rsidP="003F2C38">
      <w:pPr>
        <w:spacing w:line="259" w:lineRule="auto"/>
        <w:jc w:val="right"/>
        <w:rPr>
          <w:i/>
          <w:sz w:val="20"/>
          <w:szCs w:val="20"/>
        </w:rPr>
      </w:pPr>
      <w:bookmarkStart w:id="0" w:name="_GoBack"/>
      <w:bookmarkEnd w:id="0"/>
    </w:p>
    <w:p w:rsidR="00362DAC" w:rsidRDefault="00362DAC" w:rsidP="003F2C38">
      <w:pPr>
        <w:spacing w:line="259" w:lineRule="auto"/>
        <w:jc w:val="right"/>
        <w:rPr>
          <w:i/>
          <w:sz w:val="20"/>
          <w:szCs w:val="20"/>
        </w:rPr>
      </w:pPr>
    </w:p>
    <w:p w:rsidR="00362DAC" w:rsidRDefault="00362DAC" w:rsidP="003F2C38">
      <w:pPr>
        <w:spacing w:line="259" w:lineRule="auto"/>
        <w:jc w:val="right"/>
        <w:rPr>
          <w:i/>
          <w:sz w:val="20"/>
          <w:szCs w:val="20"/>
        </w:rPr>
      </w:pPr>
    </w:p>
    <w:p w:rsidR="003F2C38" w:rsidRDefault="003F2C38" w:rsidP="003F2C38">
      <w:pPr>
        <w:spacing w:line="259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Пример оформления</w:t>
      </w:r>
    </w:p>
    <w:p w:rsidR="003F2C38" w:rsidRDefault="003F2C38" w:rsidP="003F2C38">
      <w:pPr>
        <w:spacing w:line="36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Интерпретация кривых восстановления уровня</w:t>
      </w:r>
    </w:p>
    <w:p w:rsidR="003F2C38" w:rsidRDefault="003F2C38" w:rsidP="003F2C38">
      <w:pPr>
        <w:spacing w:line="36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Иванов А.В.,  Токарев А.П.,  </w:t>
      </w:r>
      <w:proofErr w:type="spellStart"/>
      <w:r>
        <w:rPr>
          <w:sz w:val="20"/>
          <w:szCs w:val="20"/>
        </w:rPr>
        <w:t>Ружицкий</w:t>
      </w:r>
      <w:proofErr w:type="spellEnd"/>
      <w:r>
        <w:rPr>
          <w:sz w:val="20"/>
          <w:szCs w:val="20"/>
        </w:rPr>
        <w:t xml:space="preserve"> И.Б., </w:t>
      </w:r>
    </w:p>
    <w:p w:rsidR="003F2C38" w:rsidRDefault="003F2C38" w:rsidP="003F2C38">
      <w:pPr>
        <w:spacing w:line="36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Тюменский государственный нефтегазовый университет, г. Тюмень</w:t>
      </w:r>
    </w:p>
    <w:p w:rsidR="003F2C38" w:rsidRDefault="003F2C38" w:rsidP="003F2C38">
      <w:pPr>
        <w:ind w:firstLine="720"/>
        <w:jc w:val="both"/>
        <w:rPr>
          <w:sz w:val="20"/>
          <w:szCs w:val="20"/>
        </w:rPr>
      </w:pPr>
    </w:p>
    <w:p w:rsidR="003F2C38" w:rsidRDefault="003F2C38" w:rsidP="003F2C3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Текст …</w:t>
      </w:r>
    </w:p>
    <w:p w:rsidR="003F2C38" w:rsidRDefault="003F2C38" w:rsidP="003F2C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Р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пл</m:t>
            </m:r>
          </m:sub>
        </m:sSub>
        <m: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Р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з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= ∆Р=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US"/>
              </w:rPr>
              <m:t>q</m:t>
            </m:r>
            <m:r>
              <w:rPr>
                <w:rFonts w:ascii="Cambria Math" w:hAnsi="Cambria Math"/>
                <w:sz w:val="20"/>
                <w:szCs w:val="20"/>
              </w:rPr>
              <m:t>∙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μ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2πkh</m:t>
            </m:r>
          </m:den>
        </m:f>
        <m:r>
          <w:rPr>
            <w:rFonts w:ascii="Cambria Math" w:hAnsi="Cambria Math"/>
            <w:sz w:val="20"/>
            <w:szCs w:val="20"/>
          </w:rPr>
          <m:t>∙ln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с</m:t>
                </m:r>
              </m:sub>
            </m:sSub>
          </m:den>
        </m:f>
      </m:oMath>
      <w:r>
        <w:rPr>
          <w:sz w:val="20"/>
          <w:szCs w:val="20"/>
        </w:rPr>
        <w:t xml:space="preserve">   ,                                     (1)</w:t>
      </w:r>
    </w:p>
    <w:p w:rsidR="003F2C38" w:rsidRDefault="003F2C38" w:rsidP="003F2C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где   </w:t>
      </w:r>
      <w:proofErr w:type="gramStart"/>
      <w:r>
        <w:rPr>
          <w:i/>
          <w:sz w:val="20"/>
          <w:szCs w:val="20"/>
          <w:lang w:val="en-US"/>
        </w:rPr>
        <w:t>P</w:t>
      </w:r>
      <w:proofErr w:type="spellStart"/>
      <w:proofErr w:type="gramEnd"/>
      <w:r>
        <w:rPr>
          <w:i/>
          <w:sz w:val="20"/>
          <w:szCs w:val="20"/>
          <w:vertAlign w:val="subscript"/>
        </w:rPr>
        <w:t>пл</w:t>
      </w:r>
      <w:proofErr w:type="spellEnd"/>
      <w:r>
        <w:rPr>
          <w:sz w:val="20"/>
          <w:szCs w:val="20"/>
        </w:rPr>
        <w:t xml:space="preserve"> – пластовое давление;  </w:t>
      </w:r>
      <w:proofErr w:type="spellStart"/>
      <w:r>
        <w:rPr>
          <w:i/>
          <w:sz w:val="20"/>
          <w:szCs w:val="20"/>
        </w:rPr>
        <w:t>Р</w:t>
      </w:r>
      <w:r>
        <w:rPr>
          <w:i/>
          <w:sz w:val="20"/>
          <w:szCs w:val="20"/>
          <w:vertAlign w:val="subscript"/>
        </w:rPr>
        <w:t>з</w:t>
      </w:r>
      <w:proofErr w:type="spellEnd"/>
      <w:r>
        <w:rPr>
          <w:sz w:val="20"/>
          <w:szCs w:val="20"/>
        </w:rPr>
        <w:t xml:space="preserve"> – забойное давление;  </w:t>
      </w:r>
      <w:r>
        <w:rPr>
          <w:i/>
          <w:sz w:val="20"/>
          <w:szCs w:val="20"/>
          <w:lang w:val="en-US"/>
        </w:rPr>
        <w:t>q</w:t>
      </w:r>
      <w:r>
        <w:rPr>
          <w:sz w:val="20"/>
          <w:szCs w:val="20"/>
        </w:rPr>
        <w:t xml:space="preserve"> – дебит скважины;  </w:t>
      </w:r>
      <w:r>
        <w:rPr>
          <w:i/>
          <w:sz w:val="20"/>
          <w:szCs w:val="20"/>
        </w:rPr>
        <w:t>µ</w:t>
      </w:r>
      <w:r>
        <w:rPr>
          <w:sz w:val="20"/>
          <w:szCs w:val="20"/>
        </w:rPr>
        <w:t xml:space="preserve"> - вязкость газа;    </w:t>
      </w:r>
      <w:r>
        <w:rPr>
          <w:i/>
          <w:sz w:val="20"/>
          <w:szCs w:val="20"/>
          <w:lang w:val="en-US"/>
        </w:rPr>
        <w:t>k</w:t>
      </w:r>
      <w:r>
        <w:rPr>
          <w:sz w:val="20"/>
          <w:szCs w:val="20"/>
        </w:rPr>
        <w:t xml:space="preserve"> -  проницаемость; </w:t>
      </w:r>
      <w:r>
        <w:rPr>
          <w:i/>
          <w:sz w:val="20"/>
          <w:szCs w:val="20"/>
          <w:lang w:val="en-US"/>
        </w:rPr>
        <w:t>h</w:t>
      </w:r>
      <w:r>
        <w:rPr>
          <w:sz w:val="20"/>
          <w:szCs w:val="20"/>
        </w:rPr>
        <w:t xml:space="preserve"> – толщина пласта;     </w:t>
      </w:r>
      <w:r>
        <w:rPr>
          <w:i/>
          <w:sz w:val="20"/>
          <w:szCs w:val="20"/>
          <w:lang w:val="en-US"/>
        </w:rPr>
        <w:t>r</w:t>
      </w:r>
      <w:r>
        <w:rPr>
          <w:i/>
          <w:sz w:val="20"/>
          <w:szCs w:val="20"/>
          <w:vertAlign w:val="subscript"/>
        </w:rPr>
        <w:t>к</w:t>
      </w:r>
      <w:r>
        <w:rPr>
          <w:sz w:val="20"/>
          <w:szCs w:val="20"/>
        </w:rPr>
        <w:t xml:space="preserve"> – радиус   контура питания;  </w:t>
      </w:r>
      <w:r>
        <w:rPr>
          <w:i/>
          <w:sz w:val="20"/>
          <w:szCs w:val="20"/>
          <w:lang w:val="en-US"/>
        </w:rPr>
        <w:t>r</w:t>
      </w:r>
      <w:r>
        <w:rPr>
          <w:i/>
          <w:sz w:val="20"/>
          <w:szCs w:val="20"/>
          <w:vertAlign w:val="subscript"/>
        </w:rPr>
        <w:t>с</w:t>
      </w:r>
      <w:r>
        <w:rPr>
          <w:sz w:val="20"/>
          <w:szCs w:val="20"/>
        </w:rPr>
        <w:t xml:space="preserve"> – радиус скважины.</w:t>
      </w:r>
    </w:p>
    <w:p w:rsidR="003F2C38" w:rsidRDefault="003F2C38" w:rsidP="003F2C38">
      <w:pPr>
        <w:jc w:val="both"/>
        <w:rPr>
          <w:sz w:val="20"/>
          <w:szCs w:val="20"/>
        </w:rPr>
      </w:pPr>
    </w:p>
    <w:p w:rsidR="003F2C38" w:rsidRDefault="003F2C38" w:rsidP="003F2C38">
      <w:pPr>
        <w:jc w:val="both"/>
        <w:rPr>
          <w:sz w:val="20"/>
          <w:szCs w:val="20"/>
        </w:rPr>
      </w:pPr>
      <w:r>
        <w:rPr>
          <w:sz w:val="20"/>
          <w:szCs w:val="20"/>
        </w:rPr>
        <w:t>…текст…</w:t>
      </w:r>
      <w:proofErr w:type="gramStart"/>
      <w:r>
        <w:rPr>
          <w:sz w:val="20"/>
          <w:szCs w:val="20"/>
        </w:rPr>
        <w:t>текст</w:t>
      </w:r>
      <w:proofErr w:type="gramEnd"/>
      <w:r>
        <w:rPr>
          <w:sz w:val="20"/>
          <w:szCs w:val="20"/>
        </w:rPr>
        <w:t>…текст…</w:t>
      </w:r>
    </w:p>
    <w:p w:rsidR="003F2C38" w:rsidRDefault="003F2C38" w:rsidP="003F2C38">
      <w:pPr>
        <w:jc w:val="center"/>
        <w:rPr>
          <w:sz w:val="20"/>
          <w:szCs w:val="20"/>
        </w:rPr>
      </w:pPr>
      <w:r>
        <w:rPr>
          <w:sz w:val="20"/>
          <w:szCs w:val="20"/>
        </w:rPr>
        <w:t>Литература</w:t>
      </w:r>
    </w:p>
    <w:p w:rsidR="003F2C38" w:rsidRDefault="003F2C38" w:rsidP="003F2C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Иванова, М.М. Нефтегазопромысловая геология и геологические основы разработки месторождений нефти и газа / М.М. Иванова, </w:t>
      </w:r>
      <w:proofErr w:type="spellStart"/>
      <w:r>
        <w:rPr>
          <w:sz w:val="20"/>
          <w:szCs w:val="20"/>
        </w:rPr>
        <w:t>Л.Ф.Дементьев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И.П.Чоловский</w:t>
      </w:r>
      <w:proofErr w:type="spellEnd"/>
      <w:r>
        <w:rPr>
          <w:sz w:val="20"/>
          <w:szCs w:val="20"/>
        </w:rPr>
        <w:t xml:space="preserve">  – М.: Недра, 1985.- 256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>.</w:t>
      </w:r>
    </w:p>
    <w:p w:rsidR="003F2C38" w:rsidRDefault="003F2C38" w:rsidP="003F2C3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Карнаухов, М.Л. Гидродинамические исследования скважин испытателями пластов/М.Л. Карнаухов//Новые технологии – нефтегазовому региону: материалы Всероссийской с международным участием научно-практической конференции. Т. 1 – Тюмень: </w:t>
      </w:r>
      <w:proofErr w:type="spellStart"/>
      <w:r>
        <w:rPr>
          <w:sz w:val="20"/>
          <w:szCs w:val="20"/>
        </w:rPr>
        <w:t>ТюмГНГУ</w:t>
      </w:r>
      <w:proofErr w:type="spellEnd"/>
      <w:r>
        <w:rPr>
          <w:sz w:val="20"/>
          <w:szCs w:val="20"/>
        </w:rPr>
        <w:t xml:space="preserve">, 2015. – 370-372 с. </w:t>
      </w:r>
    </w:p>
    <w:p w:rsidR="003F2C38" w:rsidRDefault="003F2C38" w:rsidP="003F2C3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Научный руководитель: Иванов И.И., д.т.н., профессор.</w:t>
      </w:r>
    </w:p>
    <w:p w:rsidR="003F2C38" w:rsidRDefault="003F2C38" w:rsidP="003F2C38">
      <w:pPr>
        <w:spacing w:line="259" w:lineRule="auto"/>
        <w:jc w:val="both"/>
        <w:rPr>
          <w:sz w:val="28"/>
          <w:szCs w:val="28"/>
        </w:rPr>
      </w:pPr>
    </w:p>
    <w:p w:rsidR="009D2D90" w:rsidRDefault="009D2D90"/>
    <w:sectPr w:rsidR="009D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38"/>
    <w:rsid w:val="00362DAC"/>
    <w:rsid w:val="003F2C38"/>
    <w:rsid w:val="009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F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C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2D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F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C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2D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Интерпретация кривых восстановления уровня</vt:lpstr>
      <vt:lpstr>Иванов А.В.,  Токарев А.П.,  Ружицкий И.Б., </vt:lpstr>
      <vt:lpstr>Тюменский государственный нефтегазовый университет, г. Тюмень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ТюмГНГУ</dc:creator>
  <cp:lastModifiedBy>ТюмГНГУ</cp:lastModifiedBy>
  <cp:revision>2</cp:revision>
  <dcterms:created xsi:type="dcterms:W3CDTF">2019-11-04T15:56:00Z</dcterms:created>
  <dcterms:modified xsi:type="dcterms:W3CDTF">2019-11-04T17:00:00Z</dcterms:modified>
</cp:coreProperties>
</file>